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CE2E58" w:rsidRDefault="00CE2E58">
      <w:pPr>
        <w:spacing w:line="520" w:lineRule="exact"/>
        <w:jc w:val="center"/>
        <w:rPr>
          <w:rFonts w:ascii="仿宋_GB2312" w:eastAsia="仿宋_GB2312" w:hAnsi="宋体" w:hint="eastAsia"/>
          <w:b/>
          <w:bCs/>
          <w:color w:val="000000"/>
          <w:sz w:val="48"/>
          <w:szCs w:val="48"/>
        </w:rPr>
      </w:pPr>
      <w:r>
        <w:rPr>
          <w:rFonts w:ascii="仿宋_GB2312" w:eastAsia="仿宋_GB2312" w:hAnsi="宋体" w:hint="eastAsia"/>
          <w:b/>
          <w:bCs/>
          <w:color w:val="000000"/>
          <w:sz w:val="48"/>
          <w:szCs w:val="48"/>
        </w:rPr>
        <w:t>关于201</w:t>
      </w:r>
      <w:r w:rsidR="00F800E6">
        <w:rPr>
          <w:rFonts w:ascii="仿宋_GB2312" w:eastAsia="仿宋_GB2312" w:hAnsi="宋体" w:hint="eastAsia"/>
          <w:b/>
          <w:bCs/>
          <w:color w:val="000000"/>
          <w:sz w:val="48"/>
          <w:szCs w:val="48"/>
        </w:rPr>
        <w:t>7</w:t>
      </w:r>
      <w:r>
        <w:rPr>
          <w:rFonts w:ascii="仿宋_GB2312" w:eastAsia="仿宋_GB2312" w:hAnsi="宋体" w:hint="eastAsia"/>
          <w:b/>
          <w:bCs/>
          <w:color w:val="000000"/>
          <w:sz w:val="48"/>
          <w:szCs w:val="48"/>
        </w:rPr>
        <w:t>届研究生答辩相关通知</w:t>
      </w:r>
    </w:p>
    <w:p w:rsidR="00CE2E58" w:rsidRDefault="00CE2E58">
      <w:pPr>
        <w:spacing w:line="520" w:lineRule="exact"/>
        <w:ind w:firstLineChars="200" w:firstLine="640"/>
        <w:rPr>
          <w:rFonts w:ascii="仿宋_GB2312" w:eastAsia="仿宋_GB2312" w:hAnsi="宋体" w:hint="eastAsia"/>
          <w:color w:val="000000"/>
          <w:sz w:val="32"/>
          <w:szCs w:val="32"/>
        </w:rPr>
      </w:pPr>
    </w:p>
    <w:p w:rsidR="00CE2E58" w:rsidRDefault="00CE2E58" w:rsidP="00F800E6">
      <w:pPr>
        <w:spacing w:afterLines="30" w:line="520" w:lineRule="exact"/>
        <w:rPr>
          <w:rFonts w:ascii="仿宋_GB2312" w:eastAsia="仿宋_GB2312" w:hAnsi="宋体" w:hint="eastAsia"/>
          <w:color w:val="000000"/>
          <w:sz w:val="32"/>
          <w:szCs w:val="32"/>
        </w:rPr>
      </w:pPr>
      <w:r>
        <w:rPr>
          <w:rFonts w:ascii="仿宋_GB2312" w:eastAsia="仿宋_GB2312" w:hAnsi="宋体" w:hint="eastAsia"/>
          <w:color w:val="000000"/>
          <w:sz w:val="32"/>
          <w:szCs w:val="32"/>
        </w:rPr>
        <w:t>各学院：</w:t>
      </w:r>
    </w:p>
    <w:p w:rsidR="00CE2E58" w:rsidRDefault="00CE2E58" w:rsidP="00F800E6">
      <w:pPr>
        <w:spacing w:afterLines="30" w:line="520" w:lineRule="exact"/>
        <w:ind w:firstLineChars="200" w:firstLine="640"/>
        <w:rPr>
          <w:rFonts w:ascii="仿宋_GB2312" w:eastAsia="仿宋_GB2312" w:hAnsi="宋体" w:hint="eastAsia"/>
          <w:color w:val="000000"/>
          <w:sz w:val="32"/>
          <w:szCs w:val="32"/>
        </w:rPr>
      </w:pPr>
      <w:r>
        <w:rPr>
          <w:rFonts w:ascii="仿宋_GB2312" w:eastAsia="仿宋_GB2312" w:hAnsi="宋体" w:hint="eastAsia"/>
          <w:color w:val="000000"/>
          <w:sz w:val="32"/>
          <w:szCs w:val="32"/>
        </w:rPr>
        <w:t>研究生学位论文双盲评审通过后，各学院可根据时间安排组织201</w:t>
      </w:r>
      <w:r w:rsidR="00F800E6">
        <w:rPr>
          <w:rFonts w:ascii="仿宋_GB2312" w:eastAsia="仿宋_GB2312" w:hAnsi="宋体" w:hint="eastAsia"/>
          <w:color w:val="000000"/>
          <w:sz w:val="32"/>
          <w:szCs w:val="32"/>
        </w:rPr>
        <w:t>7</w:t>
      </w:r>
      <w:r>
        <w:rPr>
          <w:rFonts w:ascii="仿宋_GB2312" w:eastAsia="仿宋_GB2312" w:hAnsi="宋体" w:hint="eastAsia"/>
          <w:color w:val="000000"/>
          <w:sz w:val="32"/>
          <w:szCs w:val="32"/>
        </w:rPr>
        <w:t>届研究生学位论文答辩，现将具体事项通知如下：</w:t>
      </w:r>
    </w:p>
    <w:p w:rsidR="00CE2E58" w:rsidRDefault="00CE2E58" w:rsidP="00F800E6">
      <w:pPr>
        <w:numPr>
          <w:ilvl w:val="0"/>
          <w:numId w:val="1"/>
        </w:numPr>
        <w:spacing w:afterLines="30" w:line="520" w:lineRule="exact"/>
        <w:ind w:firstLineChars="200" w:firstLine="640"/>
        <w:rPr>
          <w:rFonts w:ascii="仿宋_GB2312" w:eastAsia="仿宋_GB2312" w:hAnsi="宋体" w:hint="eastAsia"/>
          <w:color w:val="000000"/>
          <w:sz w:val="32"/>
          <w:szCs w:val="32"/>
        </w:rPr>
      </w:pPr>
      <w:r>
        <w:rPr>
          <w:rFonts w:ascii="仿宋_GB2312" w:eastAsia="仿宋_GB2312" w:hAnsi="宋体" w:hint="eastAsia"/>
          <w:color w:val="000000"/>
          <w:sz w:val="32"/>
          <w:szCs w:val="32"/>
        </w:rPr>
        <w:t>各学院确定答辩时间后在正式答辩之前将信息包括答辩时间、地点、参加答辩人员、题目等内容对外公布，并报学科与研究生处备案。</w:t>
      </w:r>
    </w:p>
    <w:p w:rsidR="00CE2E58" w:rsidRDefault="00CE2E58" w:rsidP="00F800E6">
      <w:pPr>
        <w:numPr>
          <w:ilvl w:val="0"/>
          <w:numId w:val="1"/>
        </w:numPr>
        <w:spacing w:afterLines="30" w:line="520" w:lineRule="exact"/>
        <w:ind w:firstLineChars="200" w:firstLine="640"/>
        <w:rPr>
          <w:rFonts w:ascii="仿宋_GB2312" w:eastAsia="仿宋_GB2312" w:hAnsi="宋体" w:hint="eastAsia"/>
          <w:color w:val="000000"/>
          <w:sz w:val="32"/>
          <w:szCs w:val="32"/>
        </w:rPr>
      </w:pPr>
      <w:r>
        <w:rPr>
          <w:rFonts w:ascii="仿宋_GB2312" w:eastAsia="仿宋_GB2312" w:hAnsi="宋体" w:hint="eastAsia"/>
          <w:color w:val="000000"/>
          <w:sz w:val="32"/>
          <w:szCs w:val="32"/>
        </w:rPr>
        <w:t>各学院根据通过盲审的人数到学科与研究生处领取相应的答辩表决表。</w:t>
      </w:r>
    </w:p>
    <w:p w:rsidR="00CE2E58" w:rsidRDefault="00CE2E58" w:rsidP="00F800E6">
      <w:pPr>
        <w:numPr>
          <w:ilvl w:val="0"/>
          <w:numId w:val="1"/>
        </w:numPr>
        <w:spacing w:afterLines="30" w:line="520" w:lineRule="exact"/>
        <w:ind w:firstLineChars="200" w:firstLine="640"/>
        <w:rPr>
          <w:rFonts w:ascii="仿宋_GB2312" w:eastAsia="仿宋_GB2312" w:hAnsi="宋体" w:hint="eastAsia"/>
          <w:color w:val="000000"/>
          <w:sz w:val="32"/>
          <w:szCs w:val="32"/>
        </w:rPr>
      </w:pPr>
      <w:r>
        <w:rPr>
          <w:rFonts w:ascii="仿宋_GB2312" w:eastAsia="仿宋_GB2312" w:hAnsi="宋体" w:hint="eastAsia"/>
          <w:color w:val="000000"/>
          <w:sz w:val="32"/>
          <w:szCs w:val="32"/>
        </w:rPr>
        <w:t>答辩人员名单和流程严格按照</w:t>
      </w:r>
      <w:r>
        <w:rPr>
          <w:rFonts w:ascii="仿宋_GB2312" w:eastAsia="仿宋_GB2312" w:hint="eastAsia"/>
          <w:sz w:val="32"/>
          <w:szCs w:val="32"/>
        </w:rPr>
        <w:t>《山东交通学院硕士学位授予工作实施细则（暂行）》规定执行（蓝色字体内容是从学位授予工作实施细则原文中截取）。</w:t>
      </w:r>
    </w:p>
    <w:p w:rsidR="00CE2E58" w:rsidRDefault="00CE2E58" w:rsidP="00F800E6">
      <w:pPr>
        <w:spacing w:afterLines="30" w:line="520" w:lineRule="exact"/>
        <w:ind w:firstLineChars="200" w:firstLine="640"/>
        <w:rPr>
          <w:rFonts w:ascii="华文中宋" w:eastAsia="华文中宋" w:hAnsi="华文中宋" w:cs="华文中宋" w:hint="eastAsia"/>
          <w:color w:val="0000FF"/>
          <w:sz w:val="32"/>
          <w:szCs w:val="32"/>
        </w:rPr>
      </w:pPr>
      <w:r>
        <w:rPr>
          <w:rFonts w:ascii="华文中宋" w:eastAsia="华文中宋" w:hAnsi="华文中宋" w:cs="华文中宋" w:hint="eastAsia"/>
          <w:color w:val="0000FF"/>
          <w:sz w:val="32"/>
          <w:szCs w:val="32"/>
        </w:rPr>
        <w:t>硕士学位论文评阅通过后，由所在二级学院组织论文答辩。论文答辩委员会由教授、副教授或相当专业技术职称的5位专家组成，其中至少2位是校外同行、企业或科研单位的专家。论文答辩委员会设主席1人，一般由校外专家担任。另设秘书1人，秘书负责答辩中的各项具体事务。研究生导师可作为答辩委员会成员，但比例不宜过高。</w:t>
      </w:r>
    </w:p>
    <w:p w:rsidR="00CE2E58" w:rsidRDefault="00CE2E58" w:rsidP="00F800E6">
      <w:pPr>
        <w:spacing w:afterLines="30" w:line="520" w:lineRule="exact"/>
        <w:ind w:firstLineChars="200" w:firstLine="640"/>
        <w:rPr>
          <w:rFonts w:ascii="华文中宋" w:eastAsia="华文中宋" w:hAnsi="华文中宋" w:cs="华文中宋" w:hint="eastAsia"/>
          <w:color w:val="0000FF"/>
          <w:sz w:val="32"/>
          <w:szCs w:val="32"/>
        </w:rPr>
      </w:pPr>
      <w:r>
        <w:rPr>
          <w:rFonts w:ascii="华文中宋" w:eastAsia="华文中宋" w:hAnsi="华文中宋" w:cs="华文中宋" w:hint="eastAsia"/>
          <w:color w:val="0000FF"/>
          <w:sz w:val="32"/>
          <w:szCs w:val="32"/>
        </w:rPr>
        <w:t>第四十一条  论文答辩委员会名单由二级学院分管研究生工作的人员与相关导师协商，经学位评定分委会审定，报学位办公室审批、备案。</w:t>
      </w:r>
    </w:p>
    <w:p w:rsidR="00CE2E58" w:rsidRDefault="00CE2E58" w:rsidP="00F800E6">
      <w:pPr>
        <w:spacing w:afterLines="30" w:line="520" w:lineRule="exact"/>
        <w:ind w:firstLineChars="200" w:firstLine="640"/>
        <w:rPr>
          <w:rFonts w:ascii="华文中宋" w:eastAsia="华文中宋" w:hAnsi="华文中宋" w:cs="华文中宋" w:hint="eastAsia"/>
          <w:color w:val="0000FF"/>
          <w:sz w:val="32"/>
          <w:szCs w:val="32"/>
        </w:rPr>
      </w:pPr>
      <w:r>
        <w:rPr>
          <w:rFonts w:ascii="华文中宋" w:eastAsia="华文中宋" w:hAnsi="华文中宋" w:cs="华文中宋" w:hint="eastAsia"/>
          <w:color w:val="0000FF"/>
          <w:sz w:val="32"/>
          <w:szCs w:val="32"/>
        </w:rPr>
        <w:t>第四十二条  论文答辩委员会在做出是否建议授予硕士学位的决议时，必须坚持标准，公正合理，实事求是，采</w:t>
      </w:r>
      <w:r>
        <w:rPr>
          <w:rFonts w:ascii="华文中宋" w:eastAsia="华文中宋" w:hAnsi="华文中宋" w:cs="华文中宋" w:hint="eastAsia"/>
          <w:color w:val="0000FF"/>
          <w:sz w:val="32"/>
          <w:szCs w:val="32"/>
        </w:rPr>
        <w:lastRenderedPageBreak/>
        <w:t>取无记名投票方式表决，经答辩委员会全体成员的2/3以上（含2/3）同意为通过。未通过者可在一年内修改论文，重新申请答辩一次。如果第二次答辩未通过，学位评定委员会将不再受理学位申请。</w:t>
      </w:r>
    </w:p>
    <w:p w:rsidR="00CE2E58" w:rsidRDefault="00CE2E58" w:rsidP="00F800E6">
      <w:pPr>
        <w:spacing w:afterLines="30" w:line="520" w:lineRule="exact"/>
        <w:ind w:firstLineChars="200" w:firstLine="640"/>
        <w:rPr>
          <w:rFonts w:ascii="华文中宋" w:eastAsia="华文中宋" w:hAnsi="华文中宋" w:cs="华文中宋" w:hint="eastAsia"/>
          <w:color w:val="0000FF"/>
          <w:sz w:val="32"/>
          <w:szCs w:val="32"/>
        </w:rPr>
      </w:pPr>
      <w:r>
        <w:rPr>
          <w:rFonts w:ascii="华文中宋" w:eastAsia="华文中宋" w:hAnsi="华文中宋" w:cs="华文中宋" w:hint="eastAsia"/>
          <w:color w:val="0000FF"/>
          <w:sz w:val="32"/>
          <w:szCs w:val="32"/>
        </w:rPr>
        <w:t>第四十三条</w:t>
      </w:r>
      <w:r>
        <w:rPr>
          <w:rFonts w:ascii="华文中宋" w:eastAsia="华文中宋" w:hAnsi="华文中宋" w:cs="华文中宋" w:hint="eastAsia"/>
          <w:b/>
          <w:color w:val="0000FF"/>
          <w:sz w:val="32"/>
          <w:szCs w:val="32"/>
        </w:rPr>
        <w:t xml:space="preserve"> </w:t>
      </w:r>
      <w:r>
        <w:rPr>
          <w:rFonts w:ascii="华文中宋" w:eastAsia="华文中宋" w:hAnsi="华文中宋" w:cs="华文中宋" w:hint="eastAsia"/>
          <w:color w:val="0000FF"/>
          <w:sz w:val="32"/>
          <w:szCs w:val="32"/>
        </w:rPr>
        <w:t> 学位论文答辩按答辩程序公开举行（保密学位论文除外），答辩委员会秘书应做详细记录。</w:t>
      </w:r>
    </w:p>
    <w:p w:rsidR="00CE2E58" w:rsidRDefault="00CE2E58" w:rsidP="00F800E6">
      <w:pPr>
        <w:spacing w:afterLines="30" w:line="520" w:lineRule="exact"/>
        <w:ind w:firstLineChars="200" w:firstLine="640"/>
        <w:rPr>
          <w:rFonts w:ascii="华文中宋" w:eastAsia="华文中宋" w:hAnsi="华文中宋" w:cs="华文中宋" w:hint="eastAsia"/>
          <w:color w:val="0000FF"/>
          <w:sz w:val="32"/>
          <w:szCs w:val="32"/>
        </w:rPr>
      </w:pPr>
      <w:r>
        <w:rPr>
          <w:rFonts w:ascii="华文中宋" w:eastAsia="华文中宋" w:hAnsi="华文中宋" w:cs="华文中宋" w:hint="eastAsia"/>
          <w:color w:val="0000FF"/>
          <w:sz w:val="32"/>
          <w:szCs w:val="32"/>
        </w:rPr>
        <w:t>学位论文答辩的程序：</w:t>
      </w:r>
    </w:p>
    <w:p w:rsidR="00CE2E58" w:rsidRDefault="00CE2E58" w:rsidP="00F800E6">
      <w:pPr>
        <w:spacing w:afterLines="30" w:line="520" w:lineRule="exact"/>
        <w:ind w:firstLineChars="200" w:firstLine="640"/>
        <w:rPr>
          <w:rFonts w:ascii="华文中宋" w:eastAsia="华文中宋" w:hAnsi="华文中宋" w:cs="华文中宋" w:hint="eastAsia"/>
          <w:color w:val="0000FF"/>
          <w:sz w:val="32"/>
          <w:szCs w:val="32"/>
        </w:rPr>
      </w:pPr>
      <w:r>
        <w:rPr>
          <w:rFonts w:ascii="华文中宋" w:eastAsia="华文中宋" w:hAnsi="华文中宋" w:cs="华文中宋" w:hint="eastAsia"/>
          <w:color w:val="0000FF"/>
          <w:sz w:val="32"/>
          <w:szCs w:val="32"/>
        </w:rPr>
        <w:t>1.答辩委员会主席宣布答辩委员会委员及答辩秘书名单，明确答辩方法和要求；</w:t>
      </w:r>
    </w:p>
    <w:p w:rsidR="00CE2E58" w:rsidRDefault="00CE2E58" w:rsidP="00F800E6">
      <w:pPr>
        <w:spacing w:afterLines="30" w:line="520" w:lineRule="exact"/>
        <w:ind w:firstLineChars="200" w:firstLine="640"/>
        <w:rPr>
          <w:rFonts w:ascii="华文中宋" w:eastAsia="华文中宋" w:hAnsi="华文中宋" w:cs="华文中宋" w:hint="eastAsia"/>
          <w:color w:val="0000FF"/>
          <w:sz w:val="32"/>
          <w:szCs w:val="32"/>
        </w:rPr>
      </w:pPr>
      <w:r>
        <w:rPr>
          <w:rFonts w:ascii="华文中宋" w:eastAsia="华文中宋" w:hAnsi="华文中宋" w:cs="华文中宋" w:hint="eastAsia"/>
          <w:color w:val="0000FF"/>
          <w:sz w:val="32"/>
          <w:szCs w:val="32"/>
        </w:rPr>
        <w:t>2.研究生报告论文的主要内容（一般30分钟）；</w:t>
      </w:r>
    </w:p>
    <w:p w:rsidR="00CE2E58" w:rsidRDefault="00CE2E58" w:rsidP="00F800E6">
      <w:pPr>
        <w:spacing w:afterLines="30" w:line="520" w:lineRule="exact"/>
        <w:ind w:firstLineChars="200" w:firstLine="640"/>
        <w:rPr>
          <w:rFonts w:ascii="华文中宋" w:eastAsia="华文中宋" w:hAnsi="华文中宋" w:cs="华文中宋" w:hint="eastAsia"/>
          <w:color w:val="0000FF"/>
          <w:sz w:val="32"/>
          <w:szCs w:val="32"/>
        </w:rPr>
      </w:pPr>
      <w:r>
        <w:rPr>
          <w:rFonts w:ascii="华文中宋" w:eastAsia="华文中宋" w:hAnsi="华文中宋" w:cs="华文中宋" w:hint="eastAsia"/>
          <w:color w:val="0000FF"/>
          <w:sz w:val="32"/>
          <w:szCs w:val="32"/>
        </w:rPr>
        <w:t>3.答辩委员会委员提问，研究生答辩；</w:t>
      </w:r>
    </w:p>
    <w:p w:rsidR="00CE2E58" w:rsidRDefault="00CE2E58" w:rsidP="00F800E6">
      <w:pPr>
        <w:spacing w:afterLines="30" w:line="520" w:lineRule="exact"/>
        <w:ind w:firstLineChars="200" w:firstLine="640"/>
        <w:rPr>
          <w:rFonts w:ascii="华文中宋" w:eastAsia="华文中宋" w:hAnsi="华文中宋" w:cs="华文中宋" w:hint="eastAsia"/>
          <w:color w:val="0000FF"/>
          <w:sz w:val="32"/>
          <w:szCs w:val="32"/>
        </w:rPr>
      </w:pPr>
      <w:r>
        <w:rPr>
          <w:rFonts w:ascii="华文中宋" w:eastAsia="华文中宋" w:hAnsi="华文中宋" w:cs="华文中宋" w:hint="eastAsia"/>
          <w:color w:val="0000FF"/>
          <w:sz w:val="32"/>
          <w:szCs w:val="32"/>
        </w:rPr>
        <w:t>4.答辩会休会；</w:t>
      </w:r>
    </w:p>
    <w:p w:rsidR="00CE2E58" w:rsidRDefault="00CE2E58" w:rsidP="00F800E6">
      <w:pPr>
        <w:spacing w:afterLines="30" w:line="520" w:lineRule="exact"/>
        <w:ind w:firstLineChars="200" w:firstLine="640"/>
        <w:rPr>
          <w:rFonts w:ascii="华文中宋" w:eastAsia="华文中宋" w:hAnsi="华文中宋" w:cs="华文中宋" w:hint="eastAsia"/>
          <w:color w:val="0000FF"/>
          <w:sz w:val="32"/>
          <w:szCs w:val="32"/>
        </w:rPr>
      </w:pPr>
      <w:r>
        <w:rPr>
          <w:rFonts w:ascii="华文中宋" w:eastAsia="华文中宋" w:hAnsi="华文中宋" w:cs="华文中宋" w:hint="eastAsia"/>
          <w:color w:val="0000FF"/>
          <w:sz w:val="32"/>
          <w:szCs w:val="32"/>
        </w:rPr>
        <w:t>5.举行答辩委员会会议，宣读导师和评阅人的学术评语，对论文学术水平做出评语并对学位申请人的业务进行鉴定；最后以不记名投票方式就论文是否通过及是否建议授予硕士学位进行表决，并作出书面决议填写“学位论文决议书”；决议书经答辩委员会主席签字后，报学位评定分委员会审议；</w:t>
      </w:r>
    </w:p>
    <w:p w:rsidR="00CE2E58" w:rsidRDefault="00CE2E58" w:rsidP="00F800E6">
      <w:pPr>
        <w:spacing w:afterLines="30" w:line="520" w:lineRule="exact"/>
        <w:ind w:firstLineChars="200" w:firstLine="640"/>
        <w:rPr>
          <w:rFonts w:ascii="华文中宋" w:eastAsia="华文中宋" w:hAnsi="华文中宋" w:cs="华文中宋" w:hint="eastAsia"/>
          <w:color w:val="0000FF"/>
          <w:sz w:val="32"/>
          <w:szCs w:val="32"/>
        </w:rPr>
      </w:pPr>
      <w:r>
        <w:rPr>
          <w:rFonts w:ascii="华文中宋" w:eastAsia="华文中宋" w:hAnsi="华文中宋" w:cs="华文中宋" w:hint="eastAsia"/>
          <w:color w:val="0000FF"/>
          <w:sz w:val="32"/>
          <w:szCs w:val="32"/>
        </w:rPr>
        <w:t xml:space="preserve">6.答辩会复会，答辩委员会主席宣布对论文的评价和论文答辩委员会决议（票数不公布）； </w:t>
      </w:r>
    </w:p>
    <w:p w:rsidR="00CE2E58" w:rsidRDefault="00CE2E58" w:rsidP="00F800E6">
      <w:pPr>
        <w:spacing w:afterLines="30" w:line="520" w:lineRule="exact"/>
        <w:ind w:firstLineChars="200" w:firstLine="640"/>
        <w:rPr>
          <w:rFonts w:ascii="华文中宋" w:eastAsia="华文中宋" w:hAnsi="华文中宋" w:cs="华文中宋" w:hint="eastAsia"/>
          <w:color w:val="0000FF"/>
          <w:sz w:val="32"/>
          <w:szCs w:val="32"/>
        </w:rPr>
      </w:pPr>
      <w:r>
        <w:rPr>
          <w:rFonts w:ascii="华文中宋" w:eastAsia="华文中宋" w:hAnsi="华文中宋" w:cs="华文中宋" w:hint="eastAsia"/>
          <w:color w:val="0000FF"/>
          <w:sz w:val="32"/>
          <w:szCs w:val="32"/>
        </w:rPr>
        <w:t>7.研究生致谢。</w:t>
      </w:r>
    </w:p>
    <w:p w:rsidR="00CE2E58" w:rsidRDefault="00CE2E58" w:rsidP="00F800E6">
      <w:pPr>
        <w:spacing w:afterLines="30" w:line="520" w:lineRule="exact"/>
        <w:ind w:firstLineChars="200" w:firstLine="640"/>
        <w:rPr>
          <w:rFonts w:ascii="华文中宋" w:eastAsia="华文中宋" w:hAnsi="华文中宋" w:cs="华文中宋" w:hint="eastAsia"/>
          <w:color w:val="0000FF"/>
          <w:sz w:val="32"/>
          <w:szCs w:val="32"/>
        </w:rPr>
      </w:pPr>
      <w:r>
        <w:rPr>
          <w:rFonts w:ascii="华文中宋" w:eastAsia="华文中宋" w:hAnsi="华文中宋" w:cs="华文中宋" w:hint="eastAsia"/>
          <w:color w:val="0000FF"/>
          <w:sz w:val="32"/>
          <w:szCs w:val="32"/>
        </w:rPr>
        <w:t>第四十四条  论文答辩人在答辩中，有权充分阐明自己的学术观点。在答辩委员会宣布评语、决议后，答辩人有不同的意见，可在十日内向所在二级学院学位评定分委员会书面提出，由分委员会做出处理，并将处理意见送交学位办公</w:t>
      </w:r>
      <w:r>
        <w:rPr>
          <w:rFonts w:ascii="华文中宋" w:eastAsia="华文中宋" w:hAnsi="华文中宋" w:cs="华文中宋" w:hint="eastAsia"/>
          <w:color w:val="0000FF"/>
          <w:sz w:val="32"/>
          <w:szCs w:val="32"/>
        </w:rPr>
        <w:lastRenderedPageBreak/>
        <w:t>室备案或提交学位评定委员会处理。</w:t>
      </w:r>
    </w:p>
    <w:p w:rsidR="00CE2E58" w:rsidRDefault="00CE2E58" w:rsidP="00F800E6">
      <w:pPr>
        <w:spacing w:afterLines="30" w:line="520" w:lineRule="exact"/>
        <w:ind w:firstLineChars="200" w:firstLine="640"/>
        <w:rPr>
          <w:rFonts w:ascii="仿宋_GB2312" w:eastAsia="仿宋_GB2312" w:hAnsi="宋体" w:hint="eastAsia"/>
          <w:color w:val="0000FF"/>
          <w:sz w:val="32"/>
          <w:szCs w:val="32"/>
        </w:rPr>
      </w:pPr>
      <w:r>
        <w:rPr>
          <w:rFonts w:ascii="华文中宋" w:eastAsia="华文中宋" w:hAnsi="华文中宋" w:cs="华文中宋" w:hint="eastAsia"/>
          <w:color w:val="0000FF"/>
          <w:sz w:val="32"/>
          <w:szCs w:val="32"/>
        </w:rPr>
        <w:t>第四十五条  论文答辩结束后，答辩秘书将所有答辩材料提交学位评定分委员会，待讨论审查通过后，送交学位办公室。由学位办公室汇总后提交学位评定委员会审批。</w:t>
      </w:r>
    </w:p>
    <w:p w:rsidR="00CE2E58" w:rsidRDefault="00CE2E58" w:rsidP="00F800E6">
      <w:pPr>
        <w:numPr>
          <w:ilvl w:val="0"/>
          <w:numId w:val="1"/>
        </w:numPr>
        <w:spacing w:afterLines="30" w:line="520" w:lineRule="exact"/>
        <w:ind w:firstLineChars="200" w:firstLine="640"/>
        <w:rPr>
          <w:rFonts w:ascii="仿宋_GB2312" w:eastAsia="仿宋_GB2312" w:hAnsi="宋体" w:hint="eastAsia"/>
          <w:color w:val="000000"/>
          <w:sz w:val="32"/>
          <w:szCs w:val="32"/>
        </w:rPr>
      </w:pPr>
      <w:r>
        <w:rPr>
          <w:rFonts w:ascii="仿宋_GB2312" w:eastAsia="仿宋_GB2312" w:hAnsi="宋体" w:hint="eastAsia"/>
          <w:color w:val="000000"/>
          <w:sz w:val="32"/>
          <w:szCs w:val="32"/>
        </w:rPr>
        <w:t>各学院可以采用悬挂横幅、电子屏的形式体现201</w:t>
      </w:r>
      <w:r w:rsidR="00F800E6">
        <w:rPr>
          <w:rFonts w:ascii="仿宋_GB2312" w:eastAsia="仿宋_GB2312" w:hAnsi="宋体" w:hint="eastAsia"/>
          <w:color w:val="000000"/>
          <w:sz w:val="32"/>
          <w:szCs w:val="32"/>
        </w:rPr>
        <w:t>7</w:t>
      </w:r>
      <w:r>
        <w:rPr>
          <w:rFonts w:ascii="仿宋_GB2312" w:eastAsia="仿宋_GB2312" w:hAnsi="宋体" w:hint="eastAsia"/>
          <w:color w:val="000000"/>
          <w:sz w:val="32"/>
          <w:szCs w:val="32"/>
        </w:rPr>
        <w:t>届硕士研究生学位论文答辩，注意留存研究生答辩照片等相关资料。</w:t>
      </w:r>
    </w:p>
    <w:p w:rsidR="00CE2E58" w:rsidRDefault="00CE2E58" w:rsidP="00F800E6">
      <w:pPr>
        <w:spacing w:afterLines="30" w:line="520" w:lineRule="exact"/>
        <w:rPr>
          <w:rFonts w:ascii="仿宋_GB2312" w:eastAsia="仿宋_GB2312" w:hAnsi="宋体" w:hint="eastAsia"/>
          <w:color w:val="000000"/>
          <w:sz w:val="32"/>
          <w:szCs w:val="32"/>
        </w:rPr>
      </w:pPr>
    </w:p>
    <w:p w:rsidR="00CE2E58" w:rsidRDefault="00CE2E58" w:rsidP="00F800E6">
      <w:pPr>
        <w:spacing w:afterLines="30" w:line="520" w:lineRule="exact"/>
        <w:rPr>
          <w:rFonts w:ascii="仿宋_GB2312" w:eastAsia="仿宋_GB2312" w:hAnsi="宋体" w:hint="eastAsia"/>
          <w:color w:val="000000"/>
          <w:sz w:val="32"/>
          <w:szCs w:val="32"/>
        </w:rPr>
      </w:pPr>
    </w:p>
    <w:p w:rsidR="00CE2E58" w:rsidRDefault="00CE2E58" w:rsidP="00F800E6">
      <w:pPr>
        <w:spacing w:afterLines="30" w:line="520" w:lineRule="exact"/>
        <w:rPr>
          <w:rFonts w:ascii="仿宋_GB2312" w:eastAsia="仿宋_GB2312" w:hAnsi="宋体" w:hint="eastAsia"/>
          <w:color w:val="000000"/>
          <w:sz w:val="32"/>
          <w:szCs w:val="32"/>
        </w:rPr>
      </w:pPr>
      <w:r>
        <w:rPr>
          <w:rFonts w:ascii="仿宋_GB2312" w:eastAsia="仿宋_GB2312" w:hAnsi="宋体" w:hint="eastAsia"/>
          <w:color w:val="000000"/>
          <w:sz w:val="32"/>
          <w:szCs w:val="32"/>
        </w:rPr>
        <w:t xml:space="preserve">                           学科与研究生处</w:t>
      </w:r>
    </w:p>
    <w:p w:rsidR="00CE2E58" w:rsidRDefault="00CE2E58" w:rsidP="00F800E6">
      <w:pPr>
        <w:spacing w:afterLines="30" w:line="520" w:lineRule="exact"/>
        <w:rPr>
          <w:rFonts w:ascii="仿宋_GB2312" w:eastAsia="仿宋_GB2312" w:hAnsi="宋体" w:hint="eastAsia"/>
          <w:color w:val="000000"/>
          <w:sz w:val="32"/>
          <w:szCs w:val="32"/>
        </w:rPr>
      </w:pPr>
      <w:r>
        <w:rPr>
          <w:rFonts w:ascii="仿宋_GB2312" w:eastAsia="仿宋_GB2312" w:hAnsi="宋体" w:hint="eastAsia"/>
          <w:color w:val="000000"/>
          <w:sz w:val="32"/>
          <w:szCs w:val="32"/>
        </w:rPr>
        <w:t xml:space="preserve">                           201</w:t>
      </w:r>
      <w:r w:rsidR="00F800E6">
        <w:rPr>
          <w:rFonts w:ascii="仿宋_GB2312" w:eastAsia="仿宋_GB2312" w:hAnsi="宋体" w:hint="eastAsia"/>
          <w:color w:val="000000"/>
          <w:sz w:val="32"/>
          <w:szCs w:val="32"/>
        </w:rPr>
        <w:t>7</w:t>
      </w:r>
      <w:r>
        <w:rPr>
          <w:rFonts w:ascii="仿宋_GB2312" w:eastAsia="仿宋_GB2312" w:hAnsi="宋体" w:hint="eastAsia"/>
          <w:color w:val="000000"/>
          <w:sz w:val="32"/>
          <w:szCs w:val="32"/>
        </w:rPr>
        <w:t>.5.16</w:t>
      </w:r>
    </w:p>
    <w:p w:rsidR="00CE2E58" w:rsidRDefault="00CE2E58">
      <w:pPr>
        <w:spacing w:line="520" w:lineRule="exact"/>
        <w:rPr>
          <w:rFonts w:ascii="仿宋_GB2312" w:eastAsia="仿宋_GB2312" w:hAnsi="宋体" w:hint="eastAsia"/>
          <w:color w:val="000000"/>
          <w:sz w:val="32"/>
          <w:szCs w:val="32"/>
        </w:rPr>
      </w:pPr>
    </w:p>
    <w:p w:rsidR="00CE2E58" w:rsidRDefault="00CE2E58">
      <w:pPr>
        <w:spacing w:line="520" w:lineRule="exact"/>
        <w:rPr>
          <w:rFonts w:ascii="仿宋_GB2312" w:eastAsia="仿宋_GB2312" w:hAnsi="宋体" w:hint="eastAsia"/>
          <w:color w:val="000000"/>
          <w:sz w:val="32"/>
          <w:szCs w:val="32"/>
        </w:rPr>
      </w:pPr>
      <w:r>
        <w:rPr>
          <w:rFonts w:ascii="仿宋_GB2312" w:eastAsia="仿宋_GB2312" w:hAnsi="宋体" w:hint="eastAsia"/>
          <w:color w:val="000000"/>
          <w:sz w:val="32"/>
          <w:szCs w:val="32"/>
        </w:rPr>
        <w:t xml:space="preserve">                                 </w:t>
      </w:r>
    </w:p>
    <w:sectPr w:rsidR="00CE2E58">
      <w:pgSz w:w="11906" w:h="16838"/>
      <w:pgMar w:top="1440" w:right="1800" w:bottom="1440" w:left="1800" w:header="851" w:footer="992" w:gutter="0"/>
      <w:cols w:space="720"/>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7397C47"/>
    <w:multiLevelType w:val="singleLevel"/>
    <w:tmpl w:val="57397C47"/>
    <w:lvl w:ilvl="0">
      <w:start w:val="1"/>
      <w:numFmt w:val="decimal"/>
      <w:suff w:val="nothing"/>
      <w:lvlText w:val="%1、"/>
      <w:lvlJc w:val="left"/>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stylePaneFormatFilter w:val="3F01"/>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3E9975D6"/>
    <w:rsid w:val="00A8055C"/>
    <w:rsid w:val="00CE2E58"/>
    <w:rsid w:val="00F800E6"/>
    <w:rsid w:val="3E9975D6"/>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character" w:default="1" w:styleId="a0">
    <w:name w:val="Default Paragraph Font"/>
    <w:semiHidden/>
  </w:style>
  <w:style w:type="table" w:default="1" w:styleId="a1">
    <w:name w:val="Normal Table"/>
    <w:semiHidden/>
    <w:tblPr>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encoding w:val="x-cp20936"/>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191</Words>
  <Characters>1092</Characters>
  <Application>Microsoft Office Word</Application>
  <DocSecurity>0</DocSecurity>
  <PresentationFormat/>
  <Lines>9</Lines>
  <Paragraphs>2</Paragraphs>
  <Slides>0</Slides>
  <Notes>0</Notes>
  <HiddenSlides>0</HiddenSlides>
  <MMClips>0</MMClips>
  <ScaleCrop>false</ScaleCrop>
  <Company/>
  <LinksUpToDate>false</LinksUpToDate>
  <CharactersWithSpaces>1281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2</cp:revision>
  <dcterms:created xsi:type="dcterms:W3CDTF">2016-09-21T08:31:00Z</dcterms:created>
  <dcterms:modified xsi:type="dcterms:W3CDTF">2016-09-21T08:31:00Z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2052-10.1.0.5603</vt:lpwstr>
  </property>
</Properties>
</file>